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970" w:rsidRDefault="00C73970"/>
    <w:p w:rsidR="00237F27" w:rsidRDefault="0016111F" w:rsidP="0016111F">
      <w:pPr>
        <w:widowControl/>
        <w:shd w:val="clear" w:color="auto" w:fill="FFFFFF"/>
        <w:snapToGrid w:val="0"/>
        <w:spacing w:line="460" w:lineRule="atLeast"/>
        <w:jc w:val="center"/>
        <w:rPr>
          <w:rFonts w:ascii="宋体" w:eastAsia="宋体" w:hAnsi="宋体" w:cs="宋体" w:hint="eastAsia"/>
          <w:b/>
          <w:bCs/>
          <w:color w:val="4B4B4B"/>
          <w:spacing w:val="24"/>
          <w:kern w:val="0"/>
          <w:sz w:val="32"/>
          <w:szCs w:val="32"/>
        </w:rPr>
      </w:pPr>
      <w:r w:rsidRPr="00237F27">
        <w:rPr>
          <w:rFonts w:ascii="宋体" w:eastAsia="宋体" w:hAnsi="宋体" w:cs="宋体"/>
          <w:b/>
          <w:bCs/>
          <w:color w:val="4B4B4B"/>
          <w:spacing w:val="24"/>
          <w:kern w:val="0"/>
          <w:sz w:val="32"/>
          <w:szCs w:val="32"/>
        </w:rPr>
        <w:t>财政部关于印发</w:t>
      </w:r>
    </w:p>
    <w:p w:rsidR="0016111F" w:rsidRPr="00237F27" w:rsidRDefault="0016111F" w:rsidP="0016111F">
      <w:pPr>
        <w:widowControl/>
        <w:shd w:val="clear" w:color="auto" w:fill="FFFFFF"/>
        <w:snapToGrid w:val="0"/>
        <w:spacing w:line="460" w:lineRule="atLeast"/>
        <w:jc w:val="center"/>
        <w:rPr>
          <w:rFonts w:ascii="宋体" w:eastAsia="宋体" w:hAnsi="宋体" w:cs="宋体"/>
          <w:spacing w:val="24"/>
          <w:kern w:val="0"/>
          <w:sz w:val="32"/>
          <w:szCs w:val="32"/>
        </w:rPr>
      </w:pPr>
      <w:r w:rsidRPr="00237F27">
        <w:rPr>
          <w:rFonts w:ascii="宋体" w:eastAsia="宋体" w:hAnsi="宋体" w:cs="宋体"/>
          <w:b/>
          <w:bCs/>
          <w:color w:val="4B4B4B"/>
          <w:spacing w:val="24"/>
          <w:kern w:val="0"/>
          <w:sz w:val="32"/>
          <w:szCs w:val="32"/>
        </w:rPr>
        <w:t>基本建设项目建设成本管理规定的通知</w:t>
      </w:r>
    </w:p>
    <w:p w:rsidR="0016111F" w:rsidRPr="0016111F" w:rsidRDefault="0016111F" w:rsidP="00237F27">
      <w:pPr>
        <w:widowControl/>
        <w:shd w:val="clear" w:color="auto" w:fill="FFFFFF"/>
        <w:snapToGrid w:val="0"/>
        <w:spacing w:line="460" w:lineRule="atLeast"/>
        <w:jc w:val="center"/>
        <w:rPr>
          <w:rFonts w:ascii="宋体" w:eastAsia="宋体" w:hAnsi="宋体" w:cs="宋体"/>
          <w:spacing w:val="24"/>
          <w:kern w:val="0"/>
          <w:sz w:val="24"/>
          <w:szCs w:val="24"/>
        </w:rPr>
      </w:pPr>
      <w:proofErr w:type="gramStart"/>
      <w:r w:rsidRPr="0016111F">
        <w:rPr>
          <w:rFonts w:ascii="宋体" w:eastAsia="宋体" w:hAnsi="宋体" w:cs="宋体"/>
          <w:color w:val="4B4B4B"/>
          <w:spacing w:val="24"/>
          <w:kern w:val="0"/>
          <w:sz w:val="24"/>
          <w:szCs w:val="24"/>
        </w:rPr>
        <w:t>财建</w:t>
      </w:r>
      <w:proofErr w:type="gramEnd"/>
      <w:r w:rsidRPr="0016111F">
        <w:rPr>
          <w:rFonts w:ascii="宋体" w:eastAsia="宋体" w:hAnsi="宋体" w:cs="宋体"/>
          <w:color w:val="4B4B4B"/>
          <w:spacing w:val="24"/>
          <w:kern w:val="0"/>
          <w:sz w:val="24"/>
          <w:szCs w:val="24"/>
        </w:rPr>
        <w:t>[2016]504号</w:t>
      </w:r>
    </w:p>
    <w:p w:rsidR="0016111F" w:rsidRPr="0016111F" w:rsidRDefault="0016111F" w:rsidP="0016111F">
      <w:pPr>
        <w:widowControl/>
        <w:shd w:val="clear" w:color="auto" w:fill="FFFFFF"/>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spacing w:val="24"/>
          <w:kern w:val="0"/>
          <w:sz w:val="24"/>
          <w:szCs w:val="24"/>
        </w:rPr>
        <w:t> </w:t>
      </w:r>
    </w:p>
    <w:p w:rsidR="0016111F" w:rsidRPr="0016111F" w:rsidRDefault="0016111F" w:rsidP="0016111F">
      <w:pPr>
        <w:widowControl/>
        <w:shd w:val="clear" w:color="auto" w:fill="FFFFFF"/>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党中央有关部门，国务院各部委各直属机构，军委后勤保障部，武警总部，全国人大常委会办公厅，全国政协办公厅，高法院，高检院，各民主党派中央，有关人民团体，各中央管理企业，各省自治区计划单列市财政厅（局），新疆生产建设兵团财务局：</w:t>
      </w:r>
    </w:p>
    <w:p w:rsidR="0016111F" w:rsidRPr="0016111F" w:rsidRDefault="0016111F" w:rsidP="0016111F">
      <w:pPr>
        <w:widowControl/>
        <w:shd w:val="clear" w:color="auto" w:fill="FFFFFF"/>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为推动各部门各地区进一步加强基本建设成本核算管理，提高资金使用效益，针对基本建设成本管理中反映出的主要问题，依据基本建设财务规则，现印发基本建设项目建设成本管理规定，请认真贯彻执行</w:t>
      </w:r>
    </w:p>
    <w:p w:rsidR="0016111F" w:rsidRPr="0016111F" w:rsidRDefault="0016111F" w:rsidP="0016111F">
      <w:pPr>
        <w:widowControl/>
        <w:shd w:val="clear" w:color="auto" w:fill="FFFFFF"/>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spacing w:val="24"/>
          <w:kern w:val="0"/>
          <w:sz w:val="24"/>
          <w:szCs w:val="24"/>
        </w:rPr>
        <w:t> </w:t>
      </w:r>
    </w:p>
    <w:p w:rsidR="0016111F" w:rsidRPr="0016111F" w:rsidRDefault="0016111F" w:rsidP="0016111F">
      <w:pPr>
        <w:widowControl/>
        <w:shd w:val="clear" w:color="auto" w:fill="FFFFFF"/>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附件：1.基本建设项目建设成本管理规定</w:t>
      </w:r>
    </w:p>
    <w:p w:rsidR="0016111F" w:rsidRPr="0016111F" w:rsidRDefault="0016111F" w:rsidP="0016111F">
      <w:pPr>
        <w:widowControl/>
        <w:shd w:val="clear" w:color="auto" w:fill="FFFFFF"/>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w:t>
      </w:r>
      <w:r w:rsidR="00237F27">
        <w:rPr>
          <w:rFonts w:ascii="宋体" w:eastAsia="宋体" w:hAnsi="宋体" w:cs="宋体" w:hint="eastAsia"/>
          <w:color w:val="4B4B4B"/>
          <w:spacing w:val="24"/>
          <w:kern w:val="0"/>
          <w:sz w:val="24"/>
          <w:szCs w:val="24"/>
        </w:rPr>
        <w:t xml:space="preserve">  </w:t>
      </w:r>
      <w:r w:rsidRPr="0016111F">
        <w:rPr>
          <w:rFonts w:ascii="宋体" w:eastAsia="宋体" w:hAnsi="宋体" w:cs="宋体"/>
          <w:color w:val="4B4B4B"/>
          <w:spacing w:val="24"/>
          <w:kern w:val="0"/>
          <w:sz w:val="24"/>
          <w:szCs w:val="24"/>
        </w:rPr>
        <w:t xml:space="preserve">  2.项目建设管理费总额控制数费率表</w:t>
      </w:r>
    </w:p>
    <w:p w:rsidR="0016111F" w:rsidRPr="0016111F" w:rsidRDefault="0016111F" w:rsidP="0016111F">
      <w:pPr>
        <w:widowControl/>
        <w:shd w:val="clear" w:color="auto" w:fill="FFFFFF"/>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spacing w:val="24"/>
          <w:kern w:val="0"/>
          <w:sz w:val="24"/>
          <w:szCs w:val="24"/>
        </w:rPr>
        <w:t> </w:t>
      </w:r>
    </w:p>
    <w:p w:rsidR="0016111F" w:rsidRPr="0016111F" w:rsidRDefault="0016111F" w:rsidP="00237F27">
      <w:pPr>
        <w:widowControl/>
        <w:shd w:val="clear" w:color="auto" w:fill="FFFFFF"/>
        <w:snapToGrid w:val="0"/>
        <w:spacing w:line="460" w:lineRule="atLeast"/>
        <w:jc w:val="righ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财 政 部</w:t>
      </w:r>
    </w:p>
    <w:p w:rsidR="0016111F" w:rsidRPr="0016111F" w:rsidRDefault="0016111F" w:rsidP="00237F27">
      <w:pPr>
        <w:widowControl/>
        <w:shd w:val="clear" w:color="auto" w:fill="FFFFFF"/>
        <w:snapToGrid w:val="0"/>
        <w:spacing w:line="460" w:lineRule="atLeast"/>
        <w:jc w:val="righ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2016年7月6日</w:t>
      </w:r>
    </w:p>
    <w:p w:rsidR="0016111F" w:rsidRPr="0016111F" w:rsidRDefault="0016111F" w:rsidP="0016111F">
      <w:pPr>
        <w:widowControl/>
        <w:spacing w:line="42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附件1：</w:t>
      </w:r>
    </w:p>
    <w:p w:rsidR="0016111F" w:rsidRPr="0016111F" w:rsidRDefault="0016111F" w:rsidP="0016111F">
      <w:pPr>
        <w:widowControl/>
        <w:spacing w:line="420" w:lineRule="atLeast"/>
        <w:jc w:val="center"/>
        <w:rPr>
          <w:rFonts w:ascii="宋体" w:eastAsia="宋体" w:hAnsi="宋体" w:cs="宋体"/>
          <w:spacing w:val="24"/>
          <w:kern w:val="0"/>
          <w:sz w:val="24"/>
          <w:szCs w:val="24"/>
        </w:rPr>
      </w:pPr>
      <w:r w:rsidRPr="0016111F">
        <w:rPr>
          <w:rFonts w:ascii="宋体" w:eastAsia="宋体" w:hAnsi="宋体" w:cs="宋体"/>
          <w:b/>
          <w:bCs/>
          <w:color w:val="4B4B4B"/>
          <w:spacing w:val="24"/>
          <w:kern w:val="0"/>
          <w:sz w:val="24"/>
          <w:szCs w:val="24"/>
        </w:rPr>
        <w:t>基本建设项目建设成本管理规定</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第一条 为了规范基本建设项目建设成本管理，提高建设资金使用效益，依据《基本建设财务规则》（财政部令第81号），制定本规定。</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第二条　建筑安装工程投资支出是指基本建设项目（以下简称项目）建设单位按照批准的建设内容发生的建筑工程和安装工程的实际成本，其中不包括被安装设备本身的价值，以及按照合同规定支付给施工单位的预付备料款和预付工程款。</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第三条　设备投资支出是指项目建设单位按照批准的建设内容发生的各种设备的实际成本（不包括工程抵扣的增值税进项税</w:t>
      </w:r>
      <w:r w:rsidRPr="0016111F">
        <w:rPr>
          <w:rFonts w:ascii="宋体" w:eastAsia="宋体" w:hAnsi="宋体" w:cs="宋体"/>
          <w:color w:val="4B4B4B"/>
          <w:spacing w:val="24"/>
          <w:kern w:val="0"/>
          <w:sz w:val="24"/>
          <w:szCs w:val="24"/>
        </w:rPr>
        <w:lastRenderedPageBreak/>
        <w:t>额），包括需要安装设备、不需要安装设备和为生产准备的不够固定资产标准的工具、器具的实际成本。</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需要安装设备是指必须将其整体或几个部位装配起来，安装在基础上或建筑物支架上才能使用的设备。不需要安装设备是指不必固定在一定位置或支架上就可以使用的设备。</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第四条　待摊投资支出是指项目建设单位按照批准的建设内容发生的，应当分摊计入相关资产价值的各项费用和税金支出。主要包括：</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（一）勘察费、设计费、研究试验费、可行性研究费及项目其他前期费用；</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（二）土地征用及迁移补偿费、土地复垦及补偿费、森林植被恢复费及其他为取得或租用土地使用权而发生的费用；</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（三）土地使用税、耕地占用税、契税、车船税、印花税及按规定缴纳的其他税费；</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（四）项目建设管理费、代建管理费、临时设施费、监理费、招标投标费、社会中介机构审查费及其他管理性质的费用；</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（五）项目建设期间发生的各类借款利息、债券利息、贷款评估费、国外借款手续费及承诺费、汇兑损益、债券发行费用及其他债务利息支出或融资费用；</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（六）工程检测费、设备检验费、负荷联合试车费及其他检验检测类费用；</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（七）固定资产损失、器材处理亏损、设备盘亏及毁损、报废工程净损失及其他损失；</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（八）系统集成等信息工程的费用支出；</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（九）其他待摊投资性质支出。</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项目在建设期间的建设资金存款利息收入冲减债务利息支出，利息收入超过利息支出的部分，冲减待摊投资总支出。</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第五条 项目建设管理费是指项目建设单位从项目筹建之日起</w:t>
      </w:r>
      <w:proofErr w:type="gramStart"/>
      <w:r w:rsidRPr="0016111F">
        <w:rPr>
          <w:rFonts w:ascii="宋体" w:eastAsia="宋体" w:hAnsi="宋体" w:cs="宋体"/>
          <w:color w:val="4B4B4B"/>
          <w:spacing w:val="24"/>
          <w:kern w:val="0"/>
          <w:sz w:val="24"/>
          <w:szCs w:val="24"/>
        </w:rPr>
        <w:t>至办理</w:t>
      </w:r>
      <w:proofErr w:type="gramEnd"/>
      <w:r w:rsidRPr="0016111F">
        <w:rPr>
          <w:rFonts w:ascii="宋体" w:eastAsia="宋体" w:hAnsi="宋体" w:cs="宋体"/>
          <w:color w:val="4B4B4B"/>
          <w:spacing w:val="24"/>
          <w:kern w:val="0"/>
          <w:sz w:val="24"/>
          <w:szCs w:val="24"/>
        </w:rPr>
        <w:t>竣工财务决算之日止发生的管理性质的支出。包括：不在原单位发工资的工作人员工资及相关费用、办公费、</w:t>
      </w:r>
      <w:proofErr w:type="gramStart"/>
      <w:r w:rsidRPr="0016111F">
        <w:rPr>
          <w:rFonts w:ascii="宋体" w:eastAsia="宋体" w:hAnsi="宋体" w:cs="宋体"/>
          <w:color w:val="4B4B4B"/>
          <w:spacing w:val="24"/>
          <w:kern w:val="0"/>
          <w:sz w:val="24"/>
          <w:szCs w:val="24"/>
        </w:rPr>
        <w:t>办公场</w:t>
      </w:r>
      <w:proofErr w:type="gramEnd"/>
      <w:r w:rsidRPr="0016111F">
        <w:rPr>
          <w:rFonts w:ascii="宋体" w:eastAsia="宋体" w:hAnsi="宋体" w:cs="宋体"/>
          <w:color w:val="4B4B4B"/>
          <w:spacing w:val="24"/>
          <w:kern w:val="0"/>
          <w:sz w:val="24"/>
          <w:szCs w:val="24"/>
        </w:rPr>
        <w:t>地租用费、</w:t>
      </w:r>
      <w:r w:rsidRPr="0016111F">
        <w:rPr>
          <w:rFonts w:ascii="宋体" w:eastAsia="宋体" w:hAnsi="宋体" w:cs="宋体"/>
          <w:color w:val="4B4B4B"/>
          <w:spacing w:val="24"/>
          <w:kern w:val="0"/>
          <w:sz w:val="24"/>
          <w:szCs w:val="24"/>
        </w:rPr>
        <w:lastRenderedPageBreak/>
        <w:t>差旅交通费、劳动保护费、工具用具使用费、固定资产使用费、招募生产工人费、技术图书资料费（含软件）、业务招待费、施工现场津贴、竣工验收费和其他管理性质开支。</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项目建设单位应当严格执行《党政机关厉行节约反对浪费条例》，严格控制项目建设管理费。</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第六条行政事业单位项目建设管理费实行总额控制，分年度据实列支。总额控制数以项目审批部门批准的项目总投资（经批准的动态投资，不含项目建设管理费）扣除土地征用、迁移补偿等为取得或租用土地使用权而发生的费用为基数分档计算。具体计算方法见附件。</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建设地点分散、点多面广、建设工期长以及使用新技术、新工艺等的项目，项目建设管理费确需超过上述开支标准的，中央级项目,应当事前</w:t>
      </w:r>
      <w:proofErr w:type="gramStart"/>
      <w:r w:rsidRPr="0016111F">
        <w:rPr>
          <w:rFonts w:ascii="宋体" w:eastAsia="宋体" w:hAnsi="宋体" w:cs="宋体"/>
          <w:color w:val="4B4B4B"/>
          <w:spacing w:val="24"/>
          <w:kern w:val="0"/>
          <w:sz w:val="24"/>
          <w:szCs w:val="24"/>
        </w:rPr>
        <w:t>报项目</w:t>
      </w:r>
      <w:proofErr w:type="gramEnd"/>
      <w:r w:rsidRPr="0016111F">
        <w:rPr>
          <w:rFonts w:ascii="宋体" w:eastAsia="宋体" w:hAnsi="宋体" w:cs="宋体"/>
          <w:color w:val="4B4B4B"/>
          <w:spacing w:val="24"/>
          <w:kern w:val="0"/>
          <w:sz w:val="24"/>
          <w:szCs w:val="24"/>
        </w:rPr>
        <w:t>主管部门审核批准，并报财政部备案，未经批准的，超标</w:t>
      </w:r>
      <w:proofErr w:type="gramStart"/>
      <w:r w:rsidRPr="0016111F">
        <w:rPr>
          <w:rFonts w:ascii="宋体" w:eastAsia="宋体" w:hAnsi="宋体" w:cs="宋体"/>
          <w:color w:val="4B4B4B"/>
          <w:spacing w:val="24"/>
          <w:kern w:val="0"/>
          <w:sz w:val="24"/>
          <w:szCs w:val="24"/>
        </w:rPr>
        <w:t>准发生</w:t>
      </w:r>
      <w:proofErr w:type="gramEnd"/>
      <w:r w:rsidRPr="0016111F">
        <w:rPr>
          <w:rFonts w:ascii="宋体" w:eastAsia="宋体" w:hAnsi="宋体" w:cs="宋体"/>
          <w:color w:val="4B4B4B"/>
          <w:spacing w:val="24"/>
          <w:kern w:val="0"/>
          <w:sz w:val="24"/>
          <w:szCs w:val="24"/>
        </w:rPr>
        <w:t>的项目建设管理费由项目建设单位用自有资金弥补；地方级项目，由同级财政部门确定审核批准的要求和程序。</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施工现场管理人员津贴标准比照当地财政部门制定的差旅费标准执行；一般不得发生业务招待费，确需列支的，项目业务招待费支出应当严格按照国家有关规定执行，并不得超过项目建设管理费的5%。</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第七条使用财政资金的国有和国有控股企业的项目建设管理费，比照第六条规定执行。国有和国有控股企业经营性项目的项目资本中，财政资金所占比例未超过50%的项目建设管理费可不执行第六条规定。</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第八条 政府设立（或授权）、政府招标产生的代建制项目，代建管理费由同级财政部门根据代建内容和要求，按照不高于本规定项目建设管理费标准核定，计入项目建设成本。</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实行代建制管理的项目，一般不得同时列支代建管理费和项目建设管理费，确需同时发生的，两项费用之和不得高于本规定的项目建设管理费限额。</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lastRenderedPageBreak/>
        <w:t xml:space="preserve">　　建设地点分散、点多面广以及使用新技术、新工艺等的项目，代建管理费确需超过本规定确定的开支标准的，行政单位和使用财政资金建设的事业单位中央项目,应当事前</w:t>
      </w:r>
      <w:proofErr w:type="gramStart"/>
      <w:r w:rsidRPr="0016111F">
        <w:rPr>
          <w:rFonts w:ascii="宋体" w:eastAsia="宋体" w:hAnsi="宋体" w:cs="宋体"/>
          <w:color w:val="4B4B4B"/>
          <w:spacing w:val="24"/>
          <w:kern w:val="0"/>
          <w:sz w:val="24"/>
          <w:szCs w:val="24"/>
        </w:rPr>
        <w:t>报项目</w:t>
      </w:r>
      <w:proofErr w:type="gramEnd"/>
      <w:r w:rsidRPr="0016111F">
        <w:rPr>
          <w:rFonts w:ascii="宋体" w:eastAsia="宋体" w:hAnsi="宋体" w:cs="宋体"/>
          <w:color w:val="4B4B4B"/>
          <w:spacing w:val="24"/>
          <w:kern w:val="0"/>
          <w:sz w:val="24"/>
          <w:szCs w:val="24"/>
        </w:rPr>
        <w:t>主管部门审核批准，并报财政部备案；地方项目，由同级财政部门确定审核批准的要求和程序。</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代建管理费核定和支付应当与工程进度、建设质量结合，与代建内容、代建绩效挂钩，实行奖优罚劣。同时满足按时完成项目代建任务、工程质量优良、项目投资控制在批准概算总投资范围3个条件的，可以支付代建单位利润或奖励资金，代建单位利润或奖励资金一般不得超过代建管理费的10%，需使用财政资金支付的，应当事前报同级财政部门审核批准；未完成代建任务的，应当扣减代建管理费。</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第九条　项目单项工程报废净损失计入待摊投资支出。</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单项工程报废应当经有关部门或专业机构鉴定。非经营性项目以及使用财政资金所占比例超过项目资本50%的经营性项目，发生的单项工程报废经鉴定后，</w:t>
      </w:r>
      <w:proofErr w:type="gramStart"/>
      <w:r w:rsidRPr="0016111F">
        <w:rPr>
          <w:rFonts w:ascii="宋体" w:eastAsia="宋体" w:hAnsi="宋体" w:cs="宋体"/>
          <w:color w:val="4B4B4B"/>
          <w:spacing w:val="24"/>
          <w:kern w:val="0"/>
          <w:sz w:val="24"/>
          <w:szCs w:val="24"/>
        </w:rPr>
        <w:t>报项目</w:t>
      </w:r>
      <w:proofErr w:type="gramEnd"/>
      <w:r w:rsidRPr="0016111F">
        <w:rPr>
          <w:rFonts w:ascii="宋体" w:eastAsia="宋体" w:hAnsi="宋体" w:cs="宋体"/>
          <w:color w:val="4B4B4B"/>
          <w:spacing w:val="24"/>
          <w:kern w:val="0"/>
          <w:sz w:val="24"/>
          <w:szCs w:val="24"/>
        </w:rPr>
        <w:t>竣工财务决算批复部门审核批准。</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因设计单位、施工单位、供货单位等原因造成的单项工程报废损失，由责任单位承担。</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第十条　其他投资支出是指项目建设单位按照批准的项目建设内容发生的房屋购置支出，基本畜禽、林木等的购置、饲养、培育支出，办公生活用家具、器具购置支出，软件研发及不能计入设备投资的软件购置等支出。</w:t>
      </w:r>
    </w:p>
    <w:p w:rsidR="0016111F" w:rsidRPr="0016111F" w:rsidRDefault="0016111F" w:rsidP="0016111F">
      <w:pPr>
        <w:widowControl/>
        <w:snapToGrid w:val="0"/>
        <w:spacing w:line="46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第十一条 本规定自2016年9月1日起施行。《财政部关于切实加强政府投资项目代建制财政财务管理有关问题的指导意见》(</w:t>
      </w:r>
      <w:proofErr w:type="gramStart"/>
      <w:r w:rsidRPr="0016111F">
        <w:rPr>
          <w:rFonts w:ascii="宋体" w:eastAsia="宋体" w:hAnsi="宋体" w:cs="宋体"/>
          <w:color w:val="4B4B4B"/>
          <w:spacing w:val="24"/>
          <w:kern w:val="0"/>
          <w:sz w:val="24"/>
          <w:szCs w:val="24"/>
        </w:rPr>
        <w:t>财建〔2004〕</w:t>
      </w:r>
      <w:proofErr w:type="gramEnd"/>
      <w:r w:rsidRPr="0016111F">
        <w:rPr>
          <w:rFonts w:ascii="宋体" w:eastAsia="宋体" w:hAnsi="宋体" w:cs="宋体"/>
          <w:color w:val="4B4B4B"/>
          <w:spacing w:val="24"/>
          <w:kern w:val="0"/>
          <w:sz w:val="24"/>
          <w:szCs w:val="24"/>
        </w:rPr>
        <w:t>300号)同时废止。</w:t>
      </w:r>
    </w:p>
    <w:p w:rsidR="0016111F" w:rsidRDefault="0016111F" w:rsidP="0016111F">
      <w:pPr>
        <w:widowControl/>
        <w:spacing w:line="420" w:lineRule="atLeast"/>
        <w:jc w:val="left"/>
        <w:rPr>
          <w:rFonts w:ascii="宋体" w:eastAsia="宋体" w:hAnsi="宋体" w:cs="宋体" w:hint="eastAsia"/>
          <w:spacing w:val="24"/>
          <w:kern w:val="0"/>
          <w:sz w:val="24"/>
          <w:szCs w:val="24"/>
        </w:rPr>
      </w:pPr>
      <w:r w:rsidRPr="0016111F">
        <w:rPr>
          <w:rFonts w:ascii="宋体" w:eastAsia="宋体" w:hAnsi="宋体" w:cs="宋体"/>
          <w:spacing w:val="24"/>
          <w:kern w:val="0"/>
          <w:sz w:val="24"/>
          <w:szCs w:val="24"/>
        </w:rPr>
        <w:t> </w:t>
      </w:r>
    </w:p>
    <w:p w:rsidR="00237F27" w:rsidRDefault="00237F27" w:rsidP="0016111F">
      <w:pPr>
        <w:widowControl/>
        <w:spacing w:line="420" w:lineRule="atLeast"/>
        <w:jc w:val="left"/>
        <w:rPr>
          <w:rFonts w:ascii="宋体" w:eastAsia="宋体" w:hAnsi="宋体" w:cs="宋体" w:hint="eastAsia"/>
          <w:spacing w:val="24"/>
          <w:kern w:val="0"/>
          <w:sz w:val="24"/>
          <w:szCs w:val="24"/>
        </w:rPr>
      </w:pPr>
    </w:p>
    <w:p w:rsidR="00237F27" w:rsidRDefault="00237F27" w:rsidP="0016111F">
      <w:pPr>
        <w:widowControl/>
        <w:spacing w:line="420" w:lineRule="atLeast"/>
        <w:jc w:val="left"/>
        <w:rPr>
          <w:rFonts w:ascii="宋体" w:eastAsia="宋体" w:hAnsi="宋体" w:cs="宋体" w:hint="eastAsia"/>
          <w:spacing w:val="24"/>
          <w:kern w:val="0"/>
          <w:sz w:val="24"/>
          <w:szCs w:val="24"/>
        </w:rPr>
      </w:pPr>
    </w:p>
    <w:p w:rsidR="00237F27" w:rsidRDefault="00237F27" w:rsidP="0016111F">
      <w:pPr>
        <w:widowControl/>
        <w:spacing w:line="420" w:lineRule="atLeast"/>
        <w:jc w:val="left"/>
        <w:rPr>
          <w:rFonts w:ascii="宋体" w:eastAsia="宋体" w:hAnsi="宋体" w:cs="宋体" w:hint="eastAsia"/>
          <w:spacing w:val="24"/>
          <w:kern w:val="0"/>
          <w:sz w:val="24"/>
          <w:szCs w:val="24"/>
        </w:rPr>
      </w:pPr>
    </w:p>
    <w:p w:rsidR="00237F27" w:rsidRPr="0016111F" w:rsidRDefault="00237F27" w:rsidP="0016111F">
      <w:pPr>
        <w:widowControl/>
        <w:spacing w:line="420" w:lineRule="atLeast"/>
        <w:jc w:val="left"/>
        <w:rPr>
          <w:rFonts w:ascii="宋体" w:eastAsia="宋体" w:hAnsi="宋体" w:cs="宋体"/>
          <w:spacing w:val="24"/>
          <w:kern w:val="0"/>
          <w:sz w:val="24"/>
          <w:szCs w:val="24"/>
        </w:rPr>
      </w:pPr>
    </w:p>
    <w:p w:rsidR="0016111F" w:rsidRPr="0016111F" w:rsidRDefault="0016111F" w:rsidP="0016111F">
      <w:pPr>
        <w:widowControl/>
        <w:spacing w:line="420" w:lineRule="atLeast"/>
        <w:jc w:val="lef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lastRenderedPageBreak/>
        <w:t>附件2   </w:t>
      </w:r>
    </w:p>
    <w:p w:rsidR="0016111F" w:rsidRPr="0016111F" w:rsidRDefault="0016111F" w:rsidP="0016111F">
      <w:pPr>
        <w:widowControl/>
        <w:spacing w:line="420" w:lineRule="atLeast"/>
        <w:jc w:val="center"/>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项目建设管理费总额控制数费率表</w:t>
      </w:r>
    </w:p>
    <w:p w:rsidR="0016111F" w:rsidRPr="0016111F" w:rsidRDefault="0016111F" w:rsidP="0016111F">
      <w:pPr>
        <w:widowControl/>
        <w:spacing w:line="420" w:lineRule="atLeast"/>
        <w:jc w:val="right"/>
        <w:rPr>
          <w:rFonts w:ascii="宋体" w:eastAsia="宋体" w:hAnsi="宋体" w:cs="宋体"/>
          <w:spacing w:val="24"/>
          <w:kern w:val="0"/>
          <w:sz w:val="24"/>
          <w:szCs w:val="24"/>
        </w:rPr>
      </w:pPr>
      <w:r w:rsidRPr="0016111F">
        <w:rPr>
          <w:rFonts w:ascii="宋体" w:eastAsia="宋体" w:hAnsi="宋体" w:cs="宋体"/>
          <w:color w:val="4B4B4B"/>
          <w:spacing w:val="24"/>
          <w:kern w:val="0"/>
          <w:sz w:val="24"/>
          <w:szCs w:val="24"/>
        </w:rPr>
        <w:t xml:space="preserve">   单位：万元 </w:t>
      </w:r>
    </w:p>
    <w:tbl>
      <w:tblPr>
        <w:tblW w:w="0" w:type="auto"/>
        <w:tblCellSpacing w:w="15" w:type="dxa"/>
        <w:tblCellMar>
          <w:left w:w="0" w:type="dxa"/>
          <w:right w:w="0" w:type="dxa"/>
        </w:tblCellMar>
        <w:tblLook w:val="04A0"/>
      </w:tblPr>
      <w:tblGrid>
        <w:gridCol w:w="1703"/>
        <w:gridCol w:w="1173"/>
        <w:gridCol w:w="1371"/>
        <w:gridCol w:w="4219"/>
      </w:tblGrid>
      <w:tr w:rsidR="0016111F" w:rsidRPr="0016111F" w:rsidTr="0016111F">
        <w:trPr>
          <w:trHeight w:val="360"/>
          <w:tblCellSpacing w:w="15" w:type="dxa"/>
        </w:trPr>
        <w:tc>
          <w:tcPr>
            <w:tcW w:w="1710" w:type="dxa"/>
            <w:vMerge w:val="restart"/>
            <w:tcBorders>
              <w:top w:val="inset" w:sz="8" w:space="0" w:color="000000"/>
              <w:left w:val="inset" w:sz="8" w:space="0" w:color="000000"/>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center"/>
              <w:rPr>
                <w:rFonts w:ascii="宋体" w:eastAsia="宋体" w:hAnsi="宋体" w:cs="宋体"/>
                <w:spacing w:val="24"/>
                <w:kern w:val="0"/>
                <w:sz w:val="18"/>
                <w:szCs w:val="18"/>
              </w:rPr>
            </w:pPr>
            <w:r w:rsidRPr="0016111F">
              <w:rPr>
                <w:rFonts w:ascii="宋体" w:eastAsia="宋体" w:hAnsi="宋体" w:cs="宋体"/>
                <w:b/>
                <w:bCs/>
                <w:color w:val="000000"/>
                <w:spacing w:val="24"/>
                <w:kern w:val="0"/>
                <w:sz w:val="18"/>
                <w:szCs w:val="18"/>
              </w:rPr>
              <w:t>工程总概算</w:t>
            </w:r>
          </w:p>
        </w:tc>
        <w:tc>
          <w:tcPr>
            <w:tcW w:w="1185" w:type="dxa"/>
            <w:vMerge w:val="restart"/>
            <w:tcBorders>
              <w:top w:val="inset" w:sz="8" w:space="0" w:color="000000"/>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center"/>
              <w:rPr>
                <w:rFonts w:ascii="宋体" w:eastAsia="宋体" w:hAnsi="宋体" w:cs="宋体"/>
                <w:spacing w:val="24"/>
                <w:kern w:val="0"/>
                <w:sz w:val="18"/>
                <w:szCs w:val="18"/>
              </w:rPr>
            </w:pPr>
            <w:r w:rsidRPr="0016111F">
              <w:rPr>
                <w:rFonts w:ascii="宋体" w:eastAsia="宋体" w:hAnsi="宋体" w:cs="宋体"/>
                <w:b/>
                <w:bCs/>
                <w:color w:val="000000"/>
                <w:spacing w:val="24"/>
                <w:kern w:val="0"/>
                <w:sz w:val="18"/>
                <w:szCs w:val="18"/>
              </w:rPr>
              <w:t>费率(％)</w:t>
            </w:r>
          </w:p>
        </w:tc>
        <w:tc>
          <w:tcPr>
            <w:tcW w:w="5790" w:type="dxa"/>
            <w:gridSpan w:val="2"/>
            <w:tcBorders>
              <w:top w:val="inset" w:sz="8" w:space="0" w:color="000000"/>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center"/>
              <w:rPr>
                <w:rFonts w:ascii="宋体" w:eastAsia="宋体" w:hAnsi="宋体" w:cs="宋体"/>
                <w:spacing w:val="24"/>
                <w:kern w:val="0"/>
                <w:sz w:val="18"/>
                <w:szCs w:val="18"/>
              </w:rPr>
            </w:pPr>
            <w:r w:rsidRPr="0016111F">
              <w:rPr>
                <w:rFonts w:ascii="宋体" w:eastAsia="宋体" w:hAnsi="宋体" w:cs="宋体"/>
                <w:b/>
                <w:bCs/>
                <w:color w:val="000000"/>
                <w:spacing w:val="24"/>
                <w:kern w:val="0"/>
                <w:sz w:val="18"/>
                <w:szCs w:val="18"/>
              </w:rPr>
              <w:t>算    例</w:t>
            </w:r>
          </w:p>
        </w:tc>
      </w:tr>
      <w:tr w:rsidR="0016111F" w:rsidRPr="0016111F" w:rsidTr="0016111F">
        <w:trPr>
          <w:trHeight w:val="360"/>
          <w:tblCellSpacing w:w="15" w:type="dxa"/>
        </w:trPr>
        <w:tc>
          <w:tcPr>
            <w:tcW w:w="0" w:type="auto"/>
            <w:vMerge/>
            <w:tcBorders>
              <w:top w:val="inset" w:sz="8" w:space="0" w:color="000000"/>
              <w:left w:val="inset" w:sz="8" w:space="0" w:color="000000"/>
              <w:bottom w:val="inset" w:sz="8" w:space="0" w:color="000000"/>
              <w:right w:val="inset" w:sz="8" w:space="0" w:color="000000"/>
            </w:tcBorders>
            <w:vAlign w:val="center"/>
            <w:hideMark/>
          </w:tcPr>
          <w:p w:rsidR="0016111F" w:rsidRPr="0016111F" w:rsidRDefault="0016111F" w:rsidP="0016111F">
            <w:pPr>
              <w:widowControl/>
              <w:jc w:val="left"/>
              <w:rPr>
                <w:rFonts w:ascii="宋体" w:eastAsia="宋体" w:hAnsi="宋体" w:cs="宋体"/>
                <w:spacing w:val="24"/>
                <w:kern w:val="0"/>
                <w:sz w:val="18"/>
                <w:szCs w:val="18"/>
              </w:rPr>
            </w:pPr>
          </w:p>
        </w:tc>
        <w:tc>
          <w:tcPr>
            <w:tcW w:w="0" w:type="auto"/>
            <w:vMerge/>
            <w:tcBorders>
              <w:top w:val="inset" w:sz="8" w:space="0" w:color="000000"/>
              <w:left w:val="nil"/>
              <w:bottom w:val="inset" w:sz="8" w:space="0" w:color="000000"/>
              <w:right w:val="inset" w:sz="8" w:space="0" w:color="000000"/>
            </w:tcBorders>
            <w:vAlign w:val="center"/>
            <w:hideMark/>
          </w:tcPr>
          <w:p w:rsidR="0016111F" w:rsidRPr="0016111F" w:rsidRDefault="0016111F" w:rsidP="0016111F">
            <w:pPr>
              <w:widowControl/>
              <w:jc w:val="left"/>
              <w:rPr>
                <w:rFonts w:ascii="宋体" w:eastAsia="宋体" w:hAnsi="宋体" w:cs="宋体"/>
                <w:spacing w:val="24"/>
                <w:kern w:val="0"/>
                <w:sz w:val="18"/>
                <w:szCs w:val="18"/>
              </w:rPr>
            </w:pPr>
          </w:p>
        </w:tc>
        <w:tc>
          <w:tcPr>
            <w:tcW w:w="139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left"/>
              <w:rPr>
                <w:rFonts w:ascii="宋体" w:eastAsia="宋体" w:hAnsi="宋体" w:cs="宋体"/>
                <w:spacing w:val="24"/>
                <w:kern w:val="0"/>
                <w:sz w:val="18"/>
                <w:szCs w:val="18"/>
              </w:rPr>
            </w:pPr>
            <w:r w:rsidRPr="0016111F">
              <w:rPr>
                <w:rFonts w:ascii="宋体" w:eastAsia="宋体" w:hAnsi="宋体" w:cs="宋体"/>
                <w:b/>
                <w:bCs/>
                <w:color w:val="000000"/>
                <w:spacing w:val="24"/>
                <w:kern w:val="0"/>
                <w:sz w:val="18"/>
                <w:szCs w:val="18"/>
              </w:rPr>
              <w:t>工程总概算</w:t>
            </w:r>
          </w:p>
        </w:tc>
        <w:tc>
          <w:tcPr>
            <w:tcW w:w="4395" w:type="dxa"/>
            <w:tcBorders>
              <w:top w:val="inset" w:sz="8" w:space="0" w:color="000000"/>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left"/>
              <w:rPr>
                <w:rFonts w:ascii="宋体" w:eastAsia="宋体" w:hAnsi="宋体" w:cs="宋体"/>
                <w:spacing w:val="24"/>
                <w:kern w:val="0"/>
                <w:sz w:val="18"/>
                <w:szCs w:val="18"/>
              </w:rPr>
            </w:pPr>
            <w:r w:rsidRPr="0016111F">
              <w:rPr>
                <w:rFonts w:ascii="宋体" w:eastAsia="宋体" w:hAnsi="宋体" w:cs="宋体"/>
                <w:b/>
                <w:bCs/>
                <w:color w:val="000000"/>
                <w:spacing w:val="24"/>
                <w:kern w:val="0"/>
                <w:sz w:val="18"/>
                <w:szCs w:val="18"/>
              </w:rPr>
              <w:t>项目建设管理费</w:t>
            </w:r>
          </w:p>
        </w:tc>
      </w:tr>
      <w:tr w:rsidR="0016111F" w:rsidRPr="0016111F" w:rsidTr="0016111F">
        <w:trPr>
          <w:trHeight w:val="360"/>
          <w:tblCellSpacing w:w="15" w:type="dxa"/>
        </w:trPr>
        <w:tc>
          <w:tcPr>
            <w:tcW w:w="1710" w:type="dxa"/>
            <w:tcBorders>
              <w:top w:val="nil"/>
              <w:left w:val="inset" w:sz="8" w:space="0" w:color="000000"/>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lef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1000以下</w:t>
            </w:r>
          </w:p>
        </w:tc>
        <w:tc>
          <w:tcPr>
            <w:tcW w:w="118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center"/>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2</w:t>
            </w:r>
          </w:p>
        </w:tc>
        <w:tc>
          <w:tcPr>
            <w:tcW w:w="139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righ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1000</w:t>
            </w:r>
          </w:p>
        </w:tc>
        <w:tc>
          <w:tcPr>
            <w:tcW w:w="439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lef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1000×2％＝20</w:t>
            </w:r>
          </w:p>
        </w:tc>
      </w:tr>
      <w:tr w:rsidR="0016111F" w:rsidRPr="0016111F" w:rsidTr="0016111F">
        <w:trPr>
          <w:trHeight w:val="360"/>
          <w:tblCellSpacing w:w="15" w:type="dxa"/>
        </w:trPr>
        <w:tc>
          <w:tcPr>
            <w:tcW w:w="1710" w:type="dxa"/>
            <w:tcBorders>
              <w:top w:val="nil"/>
              <w:left w:val="inset" w:sz="8" w:space="0" w:color="000000"/>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lef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1001－5000</w:t>
            </w:r>
          </w:p>
        </w:tc>
        <w:tc>
          <w:tcPr>
            <w:tcW w:w="118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center"/>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1.5</w:t>
            </w:r>
          </w:p>
        </w:tc>
        <w:tc>
          <w:tcPr>
            <w:tcW w:w="139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righ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5000</w:t>
            </w:r>
          </w:p>
        </w:tc>
        <w:tc>
          <w:tcPr>
            <w:tcW w:w="439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lef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20＋(5000－1000)×1.5％＝80</w:t>
            </w:r>
          </w:p>
        </w:tc>
      </w:tr>
      <w:tr w:rsidR="0016111F" w:rsidRPr="0016111F" w:rsidTr="0016111F">
        <w:trPr>
          <w:trHeight w:val="360"/>
          <w:tblCellSpacing w:w="15" w:type="dxa"/>
        </w:trPr>
        <w:tc>
          <w:tcPr>
            <w:tcW w:w="1710" w:type="dxa"/>
            <w:tcBorders>
              <w:top w:val="nil"/>
              <w:left w:val="inset" w:sz="8" w:space="0" w:color="000000"/>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lef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5001－10000</w:t>
            </w:r>
          </w:p>
        </w:tc>
        <w:tc>
          <w:tcPr>
            <w:tcW w:w="118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center"/>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1.2</w:t>
            </w:r>
          </w:p>
        </w:tc>
        <w:tc>
          <w:tcPr>
            <w:tcW w:w="139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righ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10000</w:t>
            </w:r>
          </w:p>
        </w:tc>
        <w:tc>
          <w:tcPr>
            <w:tcW w:w="439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lef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80＋(10000－5000)×1.2％＝140</w:t>
            </w:r>
          </w:p>
        </w:tc>
      </w:tr>
      <w:tr w:rsidR="0016111F" w:rsidRPr="0016111F" w:rsidTr="0016111F">
        <w:trPr>
          <w:trHeight w:val="360"/>
          <w:tblCellSpacing w:w="15" w:type="dxa"/>
        </w:trPr>
        <w:tc>
          <w:tcPr>
            <w:tcW w:w="1710" w:type="dxa"/>
            <w:tcBorders>
              <w:top w:val="nil"/>
              <w:left w:val="inset" w:sz="8" w:space="0" w:color="000000"/>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lef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10001－50000</w:t>
            </w:r>
          </w:p>
        </w:tc>
        <w:tc>
          <w:tcPr>
            <w:tcW w:w="118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center"/>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1</w:t>
            </w:r>
          </w:p>
        </w:tc>
        <w:tc>
          <w:tcPr>
            <w:tcW w:w="139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righ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50000</w:t>
            </w:r>
          </w:p>
        </w:tc>
        <w:tc>
          <w:tcPr>
            <w:tcW w:w="439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lef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140＋(50000－10000)×1％＝540</w:t>
            </w:r>
          </w:p>
        </w:tc>
      </w:tr>
      <w:tr w:rsidR="0016111F" w:rsidRPr="0016111F" w:rsidTr="0016111F">
        <w:trPr>
          <w:trHeight w:val="360"/>
          <w:tblCellSpacing w:w="15" w:type="dxa"/>
        </w:trPr>
        <w:tc>
          <w:tcPr>
            <w:tcW w:w="1710" w:type="dxa"/>
            <w:tcBorders>
              <w:top w:val="nil"/>
              <w:left w:val="inset" w:sz="8" w:space="0" w:color="000000"/>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lef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50001－100000</w:t>
            </w:r>
          </w:p>
        </w:tc>
        <w:tc>
          <w:tcPr>
            <w:tcW w:w="118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center"/>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0.8</w:t>
            </w:r>
          </w:p>
        </w:tc>
        <w:tc>
          <w:tcPr>
            <w:tcW w:w="139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righ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100000</w:t>
            </w:r>
          </w:p>
        </w:tc>
        <w:tc>
          <w:tcPr>
            <w:tcW w:w="439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lef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540＋(100000－50000)×0.8％＝940</w:t>
            </w:r>
          </w:p>
        </w:tc>
      </w:tr>
      <w:tr w:rsidR="0016111F" w:rsidRPr="0016111F" w:rsidTr="0016111F">
        <w:trPr>
          <w:trHeight w:val="360"/>
          <w:tblCellSpacing w:w="15" w:type="dxa"/>
        </w:trPr>
        <w:tc>
          <w:tcPr>
            <w:tcW w:w="1710" w:type="dxa"/>
            <w:tcBorders>
              <w:top w:val="nil"/>
              <w:left w:val="inset" w:sz="8" w:space="0" w:color="000000"/>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lef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100000以上</w:t>
            </w:r>
          </w:p>
        </w:tc>
        <w:tc>
          <w:tcPr>
            <w:tcW w:w="118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center"/>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0.4</w:t>
            </w:r>
          </w:p>
        </w:tc>
        <w:tc>
          <w:tcPr>
            <w:tcW w:w="139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righ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200000</w:t>
            </w:r>
          </w:p>
        </w:tc>
        <w:tc>
          <w:tcPr>
            <w:tcW w:w="4395" w:type="dxa"/>
            <w:tcBorders>
              <w:top w:val="nil"/>
              <w:left w:val="nil"/>
              <w:bottom w:val="inset" w:sz="8" w:space="0" w:color="000000"/>
              <w:right w:val="inset" w:sz="8" w:space="0" w:color="000000"/>
            </w:tcBorders>
            <w:shd w:val="clear" w:color="auto" w:fill="auto"/>
            <w:noWrap/>
            <w:tcMar>
              <w:top w:w="30" w:type="dxa"/>
              <w:left w:w="30" w:type="dxa"/>
              <w:bottom w:w="30" w:type="dxa"/>
              <w:right w:w="30" w:type="dxa"/>
            </w:tcMar>
            <w:vAlign w:val="center"/>
            <w:hideMark/>
          </w:tcPr>
          <w:p w:rsidR="0016111F" w:rsidRPr="0016111F" w:rsidRDefault="0016111F" w:rsidP="0016111F">
            <w:pPr>
              <w:widowControl/>
              <w:spacing w:line="432" w:lineRule="atLeast"/>
              <w:jc w:val="left"/>
              <w:rPr>
                <w:rFonts w:ascii="宋体" w:eastAsia="宋体" w:hAnsi="宋体" w:cs="宋体"/>
                <w:spacing w:val="24"/>
                <w:kern w:val="0"/>
                <w:sz w:val="18"/>
                <w:szCs w:val="18"/>
              </w:rPr>
            </w:pPr>
            <w:r w:rsidRPr="0016111F">
              <w:rPr>
                <w:rFonts w:ascii="宋体" w:eastAsia="宋体" w:hAnsi="宋体" w:cs="宋体"/>
                <w:color w:val="000000"/>
                <w:spacing w:val="24"/>
                <w:kern w:val="0"/>
                <w:sz w:val="18"/>
                <w:szCs w:val="18"/>
              </w:rPr>
              <w:t>940＋(200000－100000)×0.4％＝1340</w:t>
            </w:r>
          </w:p>
        </w:tc>
      </w:tr>
    </w:tbl>
    <w:p w:rsidR="0016111F" w:rsidRDefault="0016111F"/>
    <w:sectPr w:rsidR="0016111F" w:rsidSect="00C739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075" w:rsidRDefault="00CA4075" w:rsidP="0016111F">
      <w:r>
        <w:separator/>
      </w:r>
    </w:p>
  </w:endnote>
  <w:endnote w:type="continuationSeparator" w:id="0">
    <w:p w:rsidR="00CA4075" w:rsidRDefault="00CA4075" w:rsidP="001611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075" w:rsidRDefault="00CA4075" w:rsidP="0016111F">
      <w:r>
        <w:separator/>
      </w:r>
    </w:p>
  </w:footnote>
  <w:footnote w:type="continuationSeparator" w:id="0">
    <w:p w:rsidR="00CA4075" w:rsidRDefault="00CA4075" w:rsidP="001611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6111F"/>
    <w:rsid w:val="0016111F"/>
    <w:rsid w:val="00224A9A"/>
    <w:rsid w:val="00237F27"/>
    <w:rsid w:val="00403E2D"/>
    <w:rsid w:val="00C73970"/>
    <w:rsid w:val="00CA40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9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11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6111F"/>
    <w:rPr>
      <w:sz w:val="18"/>
      <w:szCs w:val="18"/>
    </w:rPr>
  </w:style>
  <w:style w:type="paragraph" w:styleId="a4">
    <w:name w:val="footer"/>
    <w:basedOn w:val="a"/>
    <w:link w:val="Char0"/>
    <w:uiPriority w:val="99"/>
    <w:semiHidden/>
    <w:unhideWhenUsed/>
    <w:rsid w:val="001611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6111F"/>
    <w:rPr>
      <w:sz w:val="18"/>
      <w:szCs w:val="18"/>
    </w:rPr>
  </w:style>
</w:styles>
</file>

<file path=word/webSettings.xml><?xml version="1.0" encoding="utf-8"?>
<w:webSettings xmlns:r="http://schemas.openxmlformats.org/officeDocument/2006/relationships" xmlns:w="http://schemas.openxmlformats.org/wordprocessingml/2006/main">
  <w:divs>
    <w:div w:id="2021813951">
      <w:bodyDiv w:val="1"/>
      <w:marLeft w:val="0"/>
      <w:marRight w:val="0"/>
      <w:marTop w:val="0"/>
      <w:marBottom w:val="0"/>
      <w:divBdr>
        <w:top w:val="none" w:sz="0" w:space="0" w:color="auto"/>
        <w:left w:val="none" w:sz="0" w:space="0" w:color="auto"/>
        <w:bottom w:val="none" w:sz="0" w:space="0" w:color="auto"/>
        <w:right w:val="none" w:sz="0" w:space="0" w:color="auto"/>
      </w:divBdr>
      <w:divsChild>
        <w:div w:id="62722786">
          <w:marLeft w:val="0"/>
          <w:marRight w:val="0"/>
          <w:marTop w:val="0"/>
          <w:marBottom w:val="0"/>
          <w:divBdr>
            <w:top w:val="none" w:sz="0" w:space="0" w:color="auto"/>
            <w:left w:val="none" w:sz="0" w:space="0" w:color="auto"/>
            <w:bottom w:val="none" w:sz="0" w:space="0" w:color="auto"/>
            <w:right w:val="none" w:sz="0" w:space="0" w:color="auto"/>
          </w:divBdr>
          <w:divsChild>
            <w:div w:id="332612242">
              <w:marLeft w:val="0"/>
              <w:marRight w:val="0"/>
              <w:marTop w:val="0"/>
              <w:marBottom w:val="0"/>
              <w:divBdr>
                <w:top w:val="none" w:sz="0" w:space="0" w:color="auto"/>
                <w:left w:val="none" w:sz="0" w:space="0" w:color="auto"/>
                <w:bottom w:val="none" w:sz="0" w:space="0" w:color="auto"/>
                <w:right w:val="none" w:sz="0" w:space="0" w:color="auto"/>
              </w:divBdr>
              <w:divsChild>
                <w:div w:id="690650371">
                  <w:marLeft w:val="0"/>
                  <w:marRight w:val="0"/>
                  <w:marTop w:val="0"/>
                  <w:marBottom w:val="0"/>
                  <w:divBdr>
                    <w:top w:val="none" w:sz="0" w:space="0" w:color="auto"/>
                    <w:left w:val="none" w:sz="0" w:space="0" w:color="auto"/>
                    <w:bottom w:val="none" w:sz="0" w:space="0" w:color="auto"/>
                    <w:right w:val="none" w:sz="0" w:space="0" w:color="auto"/>
                  </w:divBdr>
                  <w:divsChild>
                    <w:div w:id="13449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453</Words>
  <Characters>2583</Characters>
  <Application>Microsoft Office Word</Application>
  <DocSecurity>0</DocSecurity>
  <Lines>21</Lines>
  <Paragraphs>6</Paragraphs>
  <ScaleCrop>false</ScaleCrop>
  <Company>QC</Company>
  <LinksUpToDate>false</LinksUpToDate>
  <CharactersWithSpaces>3030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4</cp:revision>
  <dcterms:created xsi:type="dcterms:W3CDTF">2017-02-25T08:40:00Z</dcterms:created>
  <dcterms:modified xsi:type="dcterms:W3CDTF">2017-02-25T08:48:00Z</dcterms:modified>
</cp:coreProperties>
</file>